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A62" w:rsidTr="00FC4214">
        <w:tc>
          <w:tcPr>
            <w:tcW w:w="4785" w:type="dxa"/>
          </w:tcPr>
          <w:p w:rsidR="00D94A62" w:rsidRDefault="00D94A62" w:rsidP="00C4733E">
            <w:pPr>
              <w:spacing w:before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:rsidR="00FC4214" w:rsidRDefault="00FC4214" w:rsidP="00D94A62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</w:p>
          <w:p w:rsidR="00D94A62" w:rsidRPr="00857EEE" w:rsidRDefault="00D94A62" w:rsidP="00D94A62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  <w:r w:rsidRPr="00857EE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Національному агентству з питань запобігання корупції</w:t>
            </w:r>
          </w:p>
          <w:p w:rsidR="00D94A62" w:rsidRDefault="00D94A62" w:rsidP="00857E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D94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01103, м. Київ,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бульвар Дружби народів, 28</w:t>
            </w:r>
            <w:r w:rsidRPr="00D94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FC4214" w:rsidRDefault="00FC4214" w:rsidP="00D94A6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ED2AFE" w:rsidRPr="00FC4214" w:rsidRDefault="00D94A62" w:rsidP="00FC4214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  <w:r w:rsidRPr="00FC421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З</w:t>
      </w:r>
      <w:r w:rsidR="00FD0E0B" w:rsidRPr="00FC421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аява</w:t>
      </w:r>
    </w:p>
    <w:p w:rsidR="00ED2AFE" w:rsidRPr="00D94A62" w:rsidRDefault="00E90927" w:rsidP="00FC4214">
      <w:pPr>
        <w:shd w:val="clear" w:color="auto" w:fill="FFFFFF"/>
        <w:tabs>
          <w:tab w:val="left" w:pos="1155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592CB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>Центр демократії та верховенства права (CEDEM)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 xml:space="preserve"> </w:t>
      </w:r>
      <w:r w:rsidR="00A030F0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звертає Вашу увагу на невідповідність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вимогам чинного законодавства порядку оприлюднення даних, що містяться у деклараціях</w:t>
      </w:r>
      <w:r w:rsid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осіб, уповноважених на виконання функцій держави або місцевого самоврядування</w:t>
      </w:r>
      <w:r w:rsid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="00A030F0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ab/>
      </w:r>
    </w:p>
    <w:p w:rsidR="00ED2AFE" w:rsidRPr="00D94A62" w:rsidRDefault="00ED2AFE" w:rsidP="00FC421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Відповідно до п. 9 ч.1 ст. 11 </w:t>
      </w:r>
      <w:r w:rsidR="00836D95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Закону України «Про запобігання корупції» на Національне агентство з питань запобігання корупції (далі – </w:t>
      </w:r>
      <w:r w:rsidR="00836D95" w:rsidRPr="00D94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Національне агентство</w:t>
      </w:r>
      <w:r w:rsidR="00836D95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) покладено обов’язок </w:t>
      </w: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забезпечення ведення Єдиного державного реєстру декларацій осіб, уповноважених на виконання функцій держа</w:t>
      </w:r>
      <w:r w:rsidR="00836D95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ви або місцевого самоврядування.</w:t>
      </w:r>
    </w:p>
    <w:p w:rsidR="00ED2AFE" w:rsidRPr="00D94A62" w:rsidRDefault="00836D95" w:rsidP="00FC4214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Статтею 47 цього Закону передбачено, що </w:t>
      </w:r>
      <w:r w:rsidR="00ED2AFE" w:rsidRPr="00D94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Національне агентство </w:t>
      </w:r>
      <w:r w:rsidR="00ED2AF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забезпечує </w:t>
      </w:r>
      <w:r w:rsidR="00ED2AFE" w:rsidRPr="00D94A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відкритий цілодобовий доступ до Єдиного державного реєстру</w:t>
      </w:r>
      <w:r w:rsidR="00ED2AF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декларацій осіб, уповноважених на виконання функцій держави або місцевого самоврядування, на офіційному веб-сайті Національного агентства.</w:t>
      </w:r>
    </w:p>
    <w:p w:rsidR="00ED2AFE" w:rsidRPr="00D94A62" w:rsidRDefault="00ED2AFE" w:rsidP="00FC4214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Доступ до Єдиного державного реєстру декларацій осіб, уповноважених на виконання функцій держави або місцевого самоврядування, на офіційному веб-сайті Національного агентства надається шляхом можливості перегляду, копіювання та </w:t>
      </w:r>
      <w:proofErr w:type="spellStart"/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роздруковування</w:t>
      </w:r>
      <w:proofErr w:type="spellEnd"/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інформації, а також у вигляді набору даних (електронного документа), організованого у форматі, що дозволяє його автоматизоване оброблення електронними засобами (</w:t>
      </w:r>
      <w:proofErr w:type="spellStart"/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машинозчитування</w:t>
      </w:r>
      <w:proofErr w:type="spellEnd"/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) з метою повторного використання.</w:t>
      </w:r>
    </w:p>
    <w:p w:rsidR="00ED2AFE" w:rsidRPr="00DC4F33" w:rsidRDefault="00836D95" w:rsidP="00FC4214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При цьому, з</w:t>
      </w:r>
      <w:r w:rsidR="00ED2AF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азначені у декларації </w:t>
      </w:r>
      <w:r w:rsidR="00ED2AFE" w:rsidRPr="001535B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>відомості щодо реєстраційного номера облікової картки платника податків або серії та номера паспорта громадянина України, місця проживання, дати народження фізичних осіб, щодо яких зазначається інформація в декларації, місцезнаходження об’єктів</w:t>
      </w:r>
      <w:r w:rsidR="00ED2AFE" w:rsidRPr="00153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,</w:t>
      </w:r>
      <w:r w:rsidR="00ED2AF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які наводяться в декларації (крім області, району, населеного пункту, де знаходиться об’єкт), є інформацією з обмеженим доступом та </w:t>
      </w:r>
      <w:r w:rsidR="00ED2AFE" w:rsidRPr="001535B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>не підлягають відображенню у відкритому доступі</w:t>
      </w:r>
      <w:r w:rsidR="00ED2AFE" w:rsidRPr="00DC4F3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.</w:t>
      </w:r>
    </w:p>
    <w:p w:rsidR="00ED2AFE" w:rsidRPr="00D94A62" w:rsidRDefault="00836D95" w:rsidP="00FC4214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lastRenderedPageBreak/>
        <w:t xml:space="preserve">Таким чином, можна зробити висновок, що обмеженню у доступі підлягає тільки та інформація, виключний перелік якої наведено у </w:t>
      </w:r>
      <w:r w:rsidR="00C4733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цьому положенні статті 47 Закону України «Про запобігання корупції». Всі інші дані повинні бути відкритими та оприлюднюватись на офіційному веб-сайті Національного агентства.</w:t>
      </w:r>
    </w:p>
    <w:p w:rsidR="00D94A62" w:rsidRPr="001A0F5F" w:rsidRDefault="00C4733E" w:rsidP="00FC4214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1A0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Звертаємо Вашу увагу, що станом на сьогодні, окрім зазначених у статті 47 цього Закону відомостей, </w:t>
      </w:r>
      <w:r w:rsidR="00D94A62" w:rsidRPr="001A0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у Єдиному державному реєстрі не відображено </w:t>
      </w:r>
      <w:r w:rsidR="003B0D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ідентифікаційні</w:t>
      </w:r>
      <w:r w:rsidR="003B0D03" w:rsidRPr="003B0D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код</w:t>
      </w:r>
      <w:r w:rsidR="003B0D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и юридичних осі</w:t>
      </w:r>
      <w:r w:rsidR="003B0D03" w:rsidRPr="003B0D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б в Єдиному державному реєстрі підприємств і організацій України </w:t>
      </w:r>
      <w:r w:rsidR="001A0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(</w:t>
      </w:r>
      <w:r w:rsidR="003B0D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далі – </w:t>
      </w:r>
      <w:r w:rsidR="00D94A62" w:rsidRPr="001A0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коди </w:t>
      </w:r>
      <w:r w:rsidR="00D94A62" w:rsidRPr="00ED2A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ЄДРПОУ</w:t>
      </w:r>
      <w:r w:rsidR="001A0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)</w:t>
      </w:r>
      <w:r w:rsidR="00D94A62" w:rsidRPr="001A0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.</w:t>
      </w:r>
      <w:r w:rsidR="001A0F5F" w:rsidRPr="001A0F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</w:t>
      </w:r>
    </w:p>
    <w:p w:rsidR="00ED2AFE" w:rsidRPr="00ED2AFE" w:rsidRDefault="001A0F5F" w:rsidP="00FC4214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У </w:t>
      </w:r>
      <w:r w:rsidR="00ED2AFE" w:rsidRPr="00ED2AF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деклараціях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осіб, уповноважених </w:t>
      </w:r>
      <w:r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 виконання функцій держави або місцевого самоврядування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</w:t>
      </w:r>
      <w:r w:rsidRPr="00ED2AF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що розміщені на веб-сайті Національного агентства, </w:t>
      </w:r>
      <w:r w:rsidR="00ED2AFE" w:rsidRPr="00ED2AF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приховано коди ЄДРПОУ</w:t>
      </w:r>
      <w:r w:rsidR="00ED2AF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="00ED2AFE" w:rsidRPr="00ED2A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uk-UA" w:eastAsia="ru-RU"/>
        </w:rPr>
        <w:t>всіх без виключення</w:t>
      </w:r>
      <w:r w:rsidR="00ED2AF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="00ED2AFE" w:rsidRPr="00ED2AF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юридичних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осіб, які вказані у деклараціях, зокрема:</w:t>
      </w:r>
    </w:p>
    <w:p w:rsidR="00ED2AFE" w:rsidRPr="001A0F5F" w:rsidRDefault="00ED2AFE" w:rsidP="00FC4214">
      <w:pPr>
        <w:pStyle w:val="a4"/>
        <w:numPr>
          <w:ilvl w:val="0"/>
          <w:numId w:val="1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кінцевим </w:t>
      </w:r>
      <w:proofErr w:type="spellStart"/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бенефіціарним</w:t>
      </w:r>
      <w:proofErr w:type="spellEnd"/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власником (контролером) яких є суб’єкт декларування, а також члени його сім’ї</w:t>
      </w:r>
    </w:p>
    <w:p w:rsidR="00ED2AFE" w:rsidRPr="001A0F5F" w:rsidRDefault="00ED2AFE" w:rsidP="00FC421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від яких отримано дохід (проценти, дивіденди, заробітну плату, гонорари за правочинами та ін.). Окремо хочу виділити, що приховано навіть </w:t>
      </w:r>
      <w:r w:rsidR="001A0F5F"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коди </w:t>
      </w: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ЄДРПОУ міністерств, </w:t>
      </w:r>
      <w:r w:rsidR="001A0F5F"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інших державних органів </w:t>
      </w:r>
    </w:p>
    <w:p w:rsidR="00ED2AFE" w:rsidRPr="001A0F5F" w:rsidRDefault="00ED2AFE" w:rsidP="00FC421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фінансові установи, у яких зберігаються кошти суб’єкта декларування, членів його сім’ї </w:t>
      </w:r>
    </w:p>
    <w:p w:rsidR="00ED2AFE" w:rsidRPr="001A0F5F" w:rsidRDefault="00ED2AFE" w:rsidP="00FC421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організації та їх органи, членом яких є суб’єкт декларування </w:t>
      </w:r>
    </w:p>
    <w:p w:rsidR="00ED2AFE" w:rsidRPr="001A0F5F" w:rsidRDefault="00ED2AFE" w:rsidP="00FC421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які є емітентами цінних паперів, що у власності суб’єкта декларування</w:t>
      </w:r>
    </w:p>
    <w:p w:rsidR="00ED2AFE" w:rsidRPr="001A0F5F" w:rsidRDefault="00ED2AFE" w:rsidP="00FC421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 користь якої </w:t>
      </w:r>
      <w:proofErr w:type="spellStart"/>
      <w:r w:rsidR="001A0F5F"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виникло</w:t>
      </w:r>
      <w:proofErr w:type="spellEnd"/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зобов'язання (за договорами страхування, надання кредиту тощо)</w:t>
      </w:r>
    </w:p>
    <w:p w:rsidR="00ED2AFE" w:rsidRPr="001A0F5F" w:rsidRDefault="00ED2AFE" w:rsidP="00FC421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 яких суб’єкт декларування має корпоративні права</w:t>
      </w:r>
    </w:p>
    <w:p w:rsidR="001A0F5F" w:rsidRPr="001A0F5F" w:rsidRDefault="001A0F5F" w:rsidP="00FC421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0F5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та інші</w:t>
      </w:r>
    </w:p>
    <w:p w:rsidR="00D94A62" w:rsidRDefault="001A0F5F" w:rsidP="00FC421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Звертаємо Вашу увагу на відмінність понять «</w:t>
      </w:r>
      <w:r w:rsidRPr="001A0F5F">
        <w:rPr>
          <w:rFonts w:ascii="Times New Roman" w:hAnsi="Times New Roman" w:cs="Times New Roman"/>
          <w:sz w:val="24"/>
          <w:szCs w:val="24"/>
          <w:lang w:val="uk-UA"/>
        </w:rPr>
        <w:t>реєстраційн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A0F5F">
        <w:rPr>
          <w:rFonts w:ascii="Times New Roman" w:hAnsi="Times New Roman" w:cs="Times New Roman"/>
          <w:sz w:val="24"/>
          <w:szCs w:val="24"/>
          <w:lang w:val="uk-UA"/>
        </w:rPr>
        <w:t xml:space="preserve"> номер облікової картки платника податків</w:t>
      </w:r>
      <w:r>
        <w:rPr>
          <w:rFonts w:ascii="Times New Roman" w:hAnsi="Times New Roman" w:cs="Times New Roman"/>
          <w:sz w:val="24"/>
          <w:szCs w:val="24"/>
          <w:lang w:val="uk-UA"/>
        </w:rPr>
        <w:t>», що стосується виключно фізичних осіб, та «</w:t>
      </w:r>
      <w:r w:rsidR="003B0D03" w:rsidRPr="003B0D03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 в Єдиному державному реєстрі підприємств і організацій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що відноситься </w:t>
      </w:r>
      <w:r w:rsidR="003B0D03">
        <w:rPr>
          <w:rFonts w:ascii="Times New Roman" w:hAnsi="Times New Roman" w:cs="Times New Roman"/>
          <w:sz w:val="24"/>
          <w:szCs w:val="24"/>
          <w:lang w:val="uk-UA"/>
        </w:rPr>
        <w:t xml:space="preserve">тільки </w:t>
      </w:r>
      <w:r>
        <w:rPr>
          <w:rFonts w:ascii="Times New Roman" w:hAnsi="Times New Roman" w:cs="Times New Roman"/>
          <w:sz w:val="24"/>
          <w:szCs w:val="24"/>
          <w:lang w:val="uk-UA"/>
        </w:rPr>
        <w:t>до юридичних осіб.</w:t>
      </w:r>
    </w:p>
    <w:p w:rsidR="001A0F5F" w:rsidRDefault="001A0F5F" w:rsidP="00FC421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47 Закону України «Про запобігання корупції» інформацією з обмеженим доступом, що не підлягає</w:t>
      </w:r>
      <w:r w:rsidRPr="001A0F5F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дображенню у відкритому доступі, є інформація про </w:t>
      </w:r>
      <w:r w:rsidRPr="001A0F5F">
        <w:rPr>
          <w:rFonts w:ascii="Times New Roman" w:hAnsi="Times New Roman" w:cs="Times New Roman"/>
          <w:sz w:val="24"/>
          <w:szCs w:val="24"/>
          <w:lang w:val="uk-UA"/>
        </w:rPr>
        <w:t>реєстраційн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A0F5F">
        <w:rPr>
          <w:rFonts w:ascii="Times New Roman" w:hAnsi="Times New Roman" w:cs="Times New Roman"/>
          <w:sz w:val="24"/>
          <w:szCs w:val="24"/>
          <w:lang w:val="uk-UA"/>
        </w:rPr>
        <w:t xml:space="preserve"> номер облікової картки платника податків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фізичних осіб, а не </w:t>
      </w:r>
      <w:r w:rsidR="00DC4F33">
        <w:rPr>
          <w:rFonts w:ascii="Times New Roman" w:hAnsi="Times New Roman" w:cs="Times New Roman"/>
          <w:sz w:val="24"/>
          <w:szCs w:val="24"/>
          <w:lang w:val="uk-UA"/>
        </w:rPr>
        <w:t>код ЄДРПОУ.</w:t>
      </w:r>
    </w:p>
    <w:p w:rsidR="001535B9" w:rsidRPr="001535B9" w:rsidRDefault="00DC4F33" w:rsidP="00FC421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Більше того, код ЄДРПОУ відповідно до чинного законодавства є інформацією, доступ до якої не може бути обмежено.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 xml:space="preserve"> Такі відомості містяться у Єдиному державному</w:t>
      </w:r>
      <w:r w:rsidR="001535B9" w:rsidRPr="001535B9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535B9" w:rsidRPr="001535B9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 та фізичних осіб 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535B9" w:rsidRPr="001535B9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підприємців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>, що оприлюднюється у формі відкритих даних (</w:t>
      </w:r>
      <w:r w:rsidR="00857EE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1535B9" w:rsidRPr="001535B9">
        <w:rPr>
          <w:rFonts w:ascii="Times New Roman" w:hAnsi="Times New Roman" w:cs="Times New Roman"/>
          <w:sz w:val="24"/>
          <w:szCs w:val="24"/>
          <w:lang w:val="uk-UA"/>
        </w:rPr>
        <w:t>про набори даних, які підлягають оприлюдненню у формі відкритих даних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>, що затверджено</w:t>
      </w:r>
      <w:r w:rsidR="001535B9" w:rsidRPr="001535B9">
        <w:rPr>
          <w:rFonts w:ascii="Times New Roman" w:hAnsi="Times New Roman" w:cs="Times New Roman"/>
          <w:sz w:val="24"/>
          <w:szCs w:val="24"/>
          <w:lang w:val="uk-UA"/>
        </w:rPr>
        <w:t xml:space="preserve"> постано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 xml:space="preserve">вою Кабінету Міністрів України </w:t>
      </w:r>
      <w:r w:rsidR="001535B9" w:rsidRPr="001535B9">
        <w:rPr>
          <w:rFonts w:ascii="Times New Roman" w:hAnsi="Times New Roman" w:cs="Times New Roman"/>
          <w:sz w:val="24"/>
          <w:szCs w:val="24"/>
          <w:lang w:val="uk-UA"/>
        </w:rPr>
        <w:t>від 21 жовтня 2015 р. № 835</w:t>
      </w:r>
      <w:r w:rsidR="001535B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92CB4">
        <w:rPr>
          <w:rFonts w:ascii="Times New Roman" w:hAnsi="Times New Roman" w:cs="Times New Roman"/>
          <w:sz w:val="24"/>
          <w:szCs w:val="24"/>
          <w:lang w:val="uk-UA"/>
        </w:rPr>
        <w:t xml:space="preserve">. А отже, коди ЄДРПОУ віднесено до інформації, </w:t>
      </w:r>
      <w:r w:rsidR="00592CB4" w:rsidRPr="00DC4F33">
        <w:rPr>
          <w:rFonts w:ascii="Times New Roman" w:hAnsi="Times New Roman" w:cs="Times New Roman"/>
          <w:sz w:val="24"/>
          <w:szCs w:val="24"/>
          <w:lang w:val="uk-UA"/>
        </w:rPr>
        <w:t>яка не підлягає обмеженню в доступі</w:t>
      </w:r>
      <w:r w:rsidR="00E90927">
        <w:rPr>
          <w:rFonts w:ascii="Times New Roman" w:hAnsi="Times New Roman" w:cs="Times New Roman"/>
          <w:sz w:val="24"/>
          <w:szCs w:val="24"/>
          <w:lang w:val="uk-UA"/>
        </w:rPr>
        <w:t xml:space="preserve">, а тому повинна бути оприлюднена у </w:t>
      </w:r>
      <w:r w:rsidR="00E9092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Єдиному державному реєстрі</w:t>
      </w:r>
      <w:r w:rsidR="00E90927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декларацій осіб, уповноважених на виконання функцій держави або місцевого самоврядування</w:t>
      </w:r>
      <w:r w:rsidR="00E9092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</w:p>
    <w:p w:rsidR="00B535F5" w:rsidRDefault="00FC4214" w:rsidP="00FC4214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Варт</w:t>
      </w:r>
      <w:r w:rsidR="00E90927">
        <w:rPr>
          <w:rFonts w:ascii="Times New Roman" w:hAnsi="Times New Roman" w:cs="Times New Roman"/>
          <w:sz w:val="24"/>
          <w:szCs w:val="24"/>
          <w:lang w:val="uk-UA"/>
        </w:rPr>
        <w:t xml:space="preserve">о також зазначити, що оприлюднення інформації про </w:t>
      </w:r>
      <w:r w:rsidR="00E90927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осіб, уповноважених на виконання функцій держави або місцевого самоврядування</w:t>
      </w:r>
      <w:r w:rsidR="00E9092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членів їхньої сім’ї становить значний суспільний інтерес. Безсумнівно, </w:t>
      </w:r>
      <w:r w:rsidRPr="00FC42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інформація яка дасть можливість ідентифікувати належність підприємств тим чи іншим особам, уповноваженим на виконання функцій держави, впливатиме на протидію корупції та сприятиме більшій прозорості та довірі до влади</w:t>
      </w:r>
      <w:r w:rsidR="00857EE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</w:p>
    <w:p w:rsidR="00D94A62" w:rsidRDefault="00DC4F33" w:rsidP="00FC421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зазначене вище</w:t>
      </w:r>
      <w:r w:rsidR="00857EE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просимо Вас</w:t>
      </w:r>
      <w:r w:rsidR="00E90927">
        <w:rPr>
          <w:rFonts w:ascii="Times New Roman" w:hAnsi="Times New Roman" w:cs="Times New Roman"/>
          <w:sz w:val="24"/>
          <w:szCs w:val="24"/>
          <w:lang w:val="uk-UA"/>
        </w:rPr>
        <w:t xml:space="preserve"> вжити необхідних заходів щодо </w:t>
      </w:r>
      <w:r w:rsidR="00857EEE">
        <w:rPr>
          <w:rFonts w:ascii="Times New Roman" w:hAnsi="Times New Roman" w:cs="Times New Roman"/>
          <w:sz w:val="24"/>
          <w:szCs w:val="24"/>
          <w:lang w:val="uk-UA"/>
        </w:rPr>
        <w:t xml:space="preserve">усунення порушення вимог Закону України «Про запобігання корупції» та відкрити доступ до інформації про </w:t>
      </w:r>
      <w:r w:rsidR="003B0D03" w:rsidRPr="003B0D03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 в Єдиному державному реєстрі підприємств і організацій України</w:t>
      </w:r>
      <w:r w:rsidR="00857EEE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3B0D03">
        <w:rPr>
          <w:rFonts w:ascii="Times New Roman" w:hAnsi="Times New Roman" w:cs="Times New Roman"/>
          <w:sz w:val="24"/>
          <w:szCs w:val="24"/>
          <w:lang w:val="uk-UA"/>
        </w:rPr>
        <w:t>вказані</w:t>
      </w:r>
      <w:r w:rsidR="00857EE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857EE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Єдиному державному реєстрі</w:t>
      </w:r>
      <w:r w:rsidR="00857EEE" w:rsidRPr="00D94A6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декларацій осіб, уповноважених на виконання функцій держави або місцевого самоврядування</w:t>
      </w:r>
      <w:r w:rsidR="00857EE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</w:p>
    <w:p w:rsidR="00857EEE" w:rsidRDefault="00FC4214" w:rsidP="00FC421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Про </w:t>
      </w:r>
      <w:r w:rsidRPr="00FC421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вжиті заходи просимо проінформувати невідкладно. Будемо вдячні за співпрацю та швидке вирішення цього питання.</w:t>
      </w:r>
    </w:p>
    <w:p w:rsidR="00FC4214" w:rsidRDefault="00FC4214" w:rsidP="00FC4214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tbl>
      <w:tblPr>
        <w:tblStyle w:val="a3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786"/>
      </w:tblGrid>
      <w:tr w:rsidR="002448CA" w:rsidTr="00FC4214">
        <w:tc>
          <w:tcPr>
            <w:tcW w:w="6771" w:type="dxa"/>
          </w:tcPr>
          <w:p w:rsidR="002448CA" w:rsidRDefault="002448CA" w:rsidP="002448CA">
            <w:pPr>
              <w:spacing w:before="24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повагою</w:t>
            </w:r>
          </w:p>
          <w:p w:rsidR="002448CA" w:rsidRPr="0035512B" w:rsidRDefault="002448CA" w:rsidP="002448CA">
            <w:pPr>
              <w:spacing w:before="24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4786" w:type="dxa"/>
          </w:tcPr>
          <w:p w:rsidR="002448CA" w:rsidRDefault="002448CA" w:rsidP="002448C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48CA" w:rsidRDefault="002448CA" w:rsidP="002448CA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 Олексіюк</w:t>
            </w:r>
          </w:p>
        </w:tc>
      </w:tr>
    </w:tbl>
    <w:p w:rsidR="00FC4214" w:rsidRDefault="00FC4214" w:rsidP="00D94A6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E54"/>
    <w:multiLevelType w:val="hybridMultilevel"/>
    <w:tmpl w:val="8AB26B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FE"/>
    <w:rsid w:val="001535B9"/>
    <w:rsid w:val="00186754"/>
    <w:rsid w:val="001A0F5F"/>
    <w:rsid w:val="002448CA"/>
    <w:rsid w:val="003B0D03"/>
    <w:rsid w:val="00592CB4"/>
    <w:rsid w:val="00836D95"/>
    <w:rsid w:val="00857EEE"/>
    <w:rsid w:val="00A030F0"/>
    <w:rsid w:val="00B20A0F"/>
    <w:rsid w:val="00C4733E"/>
    <w:rsid w:val="00D94A62"/>
    <w:rsid w:val="00DC4F33"/>
    <w:rsid w:val="00DF099E"/>
    <w:rsid w:val="00E90927"/>
    <w:rsid w:val="00ED2AFE"/>
    <w:rsid w:val="00FC4214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7E08-C151-487E-86E9-7D912DA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AFE"/>
  </w:style>
  <w:style w:type="paragraph" w:customStyle="1" w:styleId="m8558793918018067004gmail-msolistparagraph">
    <w:name w:val="m_8558793918018067004gmail-msolistparagraph"/>
    <w:basedOn w:val="a"/>
    <w:rsid w:val="00ED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9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F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2016-12-13T13:40:00Z</cp:lastPrinted>
  <dcterms:created xsi:type="dcterms:W3CDTF">2016-11-17T13:06:00Z</dcterms:created>
  <dcterms:modified xsi:type="dcterms:W3CDTF">2016-12-13T13:41:00Z</dcterms:modified>
</cp:coreProperties>
</file>