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ВИМОГИ ДО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ТЕНДЕРНОЇ ПРОПОЗИЦІЇ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На дизайнерські послуги 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 виготовлення поліграфічної, брендованої продукції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на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2023 рік для ГО «Центр демократії та верховенства права»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Предмет конкурсу</w:t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Вимоги до постачальника</w:t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Вимоги до Тендерної документації</w:t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480"/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Правила проведення конкурсу</w:t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Додаток 1. ЛИСТ - ПІДТВЕРДЖЕННЯ.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631"/>
            </w:tabs>
            <w:spacing w:after="0" w:before="3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Додаток 2. СПЕЦИФІКАЦІЯ дизайнерських послуг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 виготовлення поліграфічної, брендованої продукції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numPr>
          <w:ilvl w:val="0"/>
          <w:numId w:val="11"/>
        </w:numPr>
        <w:spacing w:after="120" w:before="120" w:lineRule="auto"/>
        <w:ind w:left="792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 конкурсу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Предметом даного конкурсу є вибір постачальника для закупівлі дизайнерських послуг та виготовлення поліграфічної, брендованої продукції на 2023 рік для ГО «Центр демократії та верховенства права»</w:t>
      </w: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 демократії та верховенства права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Місія ЦЕДЕМ –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сприяння розвитку суспільства активних та відповідальних громадян через: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підтримку громадських ініціатив;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незаангажовану правову експертизу;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розробку та імплементацію якісного законодавства;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освіту;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захист свободи слова;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досягнення підзвітності влади;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shd w:fill="ffffff" w:val="clear"/>
        <w:ind w:left="709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утвердження верховенства права.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Закупівлі товарів та послуг в організації здійснюються на основі таких принципів: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максимальна економія та ефективність;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сприяння належній адміністративній практиці;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оптимальність строків виконання зобов’язань;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добросовісна конкуренція серед учасників;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відкритість та прозорість на всіх стадіях закупівель;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запобігання проявам корупції;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недискримінація учасників;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екологічність предмету закупівель;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об'єктивна та неупереджена оцінка тендерних пропозицій.</w:t>
      </w:r>
    </w:p>
    <w:p w:rsidR="00000000" w:rsidDel="00000000" w:rsidP="00000000" w:rsidRDefault="00000000" w:rsidRPr="00000000" w14:paraId="00000074">
      <w:pPr>
        <w:shd w:fill="ffffff" w:val="clear"/>
        <w:spacing w:after="15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є запитом (далі «Запит») Замовника постачальнику (далі «Постачальник») на надання тендерної пропозиції на участь у відкритому тендері (далі «Пропозиція») на закупівлю дизайнерських послуг та виготовлення поліграфічної, брендованої продукції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згідно з Політикою здійснення закупівель ГО «Центр демократії та верховенства права».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numPr>
          <w:ilvl w:val="0"/>
          <w:numId w:val="11"/>
        </w:numPr>
        <w:ind w:left="792" w:hanging="360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постачальника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left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професійний досвід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 сфері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виготовлення поліграфічної та брендованої продукції;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left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професійний досвід у наданні дизайнерських послуг;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вартість послуг;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технічні засоби та відповідне обладнання, професійні кадри зі знаннями та досвідом у зазначеній галузі;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можливість надання послуг в стислі терміни. </w:t>
      </w:r>
    </w:p>
    <w:p w:rsidR="00000000" w:rsidDel="00000000" w:rsidP="00000000" w:rsidRDefault="00000000" w:rsidRPr="00000000" w14:paraId="0000007E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Постачальники,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7F">
      <w:pPr>
        <w:numPr>
          <w:ilvl w:val="0"/>
          <w:numId w:val="21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80">
      <w:pPr>
        <w:numPr>
          <w:ilvl w:val="0"/>
          <w:numId w:val="21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81">
      <w:pPr>
        <w:numPr>
          <w:ilvl w:val="0"/>
          <w:numId w:val="21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відповідь на Запит повинна бути чіткою, ґрунтуватися на поточних цінах.  </w:t>
      </w:r>
    </w:p>
    <w:p w:rsidR="00000000" w:rsidDel="00000000" w:rsidP="00000000" w:rsidRDefault="00000000" w:rsidRPr="00000000" w14:paraId="0000008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 тендері не може брати участь контрагент:</w:t>
      </w:r>
    </w:p>
    <w:p w:rsidR="00000000" w:rsidDel="00000000" w:rsidP="00000000" w:rsidRDefault="00000000" w:rsidRPr="00000000" w14:paraId="0000008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є судове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Sida/громадянам Швеції.</w:t>
      </w:r>
    </w:p>
    <w:p w:rsidR="00000000" w:rsidDel="00000000" w:rsidP="00000000" w:rsidRDefault="00000000" w:rsidRPr="00000000" w14:paraId="0000008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000000" w:rsidDel="00000000" w:rsidP="00000000" w:rsidRDefault="00000000" w:rsidRPr="00000000" w14:paraId="0000008B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1"/>
        <w:numPr>
          <w:ilvl w:val="0"/>
          <w:numId w:val="11"/>
        </w:numPr>
        <w:ind w:left="792" w:hanging="360"/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Згідно з умовами даного Запиту постачальник має надати повну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Тендерну документацію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яка включає: 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Тендерна пропозиція (за шаблоном наданому в Додатку 2)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Реєстраційні документи постачальника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3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spacing w:after="120" w:before="120" w:lineRule="auto"/>
        <w:ind w:left="576" w:hanging="576"/>
        <w:rPr>
          <w:rFonts w:ascii="Times New Roman" w:cs="Times New Roman" w:eastAsia="Times New Roman" w:hAnsi="Times New Roman"/>
          <w:i w:val="0"/>
          <w:u w:val="singl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0"/>
          <w:u w:val="single"/>
          <w:rtl w:val="0"/>
        </w:rPr>
        <w:t xml:space="preserve">Інформація про постачальника</w:t>
      </w:r>
    </w:p>
    <w:p w:rsidR="00000000" w:rsidDel="00000000" w:rsidP="00000000" w:rsidRDefault="00000000" w:rsidRPr="00000000" w14:paraId="00000095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Постачальника;</w:t>
      </w:r>
    </w:p>
    <w:p w:rsidR="00000000" w:rsidDel="00000000" w:rsidP="00000000" w:rsidRDefault="00000000" w:rsidRPr="00000000" w14:paraId="00000096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Постачальника;</w:t>
      </w:r>
    </w:p>
    <w:p w:rsidR="00000000" w:rsidDel="00000000" w:rsidP="00000000" w:rsidRDefault="00000000" w:rsidRPr="00000000" w14:paraId="00000097">
      <w:pPr>
        <w:numPr>
          <w:ilvl w:val="0"/>
          <w:numId w:val="15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ключові види діяльності Постачальника;</w:t>
      </w:r>
    </w:p>
    <w:p w:rsidR="00000000" w:rsidDel="00000000" w:rsidP="00000000" w:rsidRDefault="00000000" w:rsidRPr="00000000" w14:paraId="00000099">
      <w:pPr>
        <w:numPr>
          <w:ilvl w:val="0"/>
          <w:numId w:val="19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інформація про досвід надання дизайнерських послуг та виготовлення поліграфічної, брендованої продукції для українських неприбуткових організацій або міжнародних неурядових організацій.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9B">
      <w:pPr>
        <w:numPr>
          <w:ilvl w:val="0"/>
          <w:numId w:val="22"/>
        </w:numPr>
        <w:spacing w:after="120" w:before="120" w:lineRule="auto"/>
        <w:ind w:left="720" w:hanging="36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Загальна інформація про пропоновані послуги:</w:t>
      </w:r>
    </w:p>
    <w:p w:rsidR="00000000" w:rsidDel="00000000" w:rsidP="00000000" w:rsidRDefault="00000000" w:rsidRPr="00000000" w14:paraId="0000009C">
      <w:pPr>
        <w:numPr>
          <w:ilvl w:val="2"/>
          <w:numId w:val="22"/>
        </w:numPr>
        <w:spacing w:after="60" w:before="60" w:lineRule="auto"/>
        <w:ind w:left="1134" w:hanging="424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послуг з виготовлення поліграфічної та брендованої продукції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можуть передбачати, але не виключно)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відображені в таблиці Додатку 2 (заповнена таблиця шаблону наданого в Додатку 2 має додаватися до тендерної документації).</w:t>
      </w:r>
    </w:p>
    <w:p w:rsidR="00000000" w:rsidDel="00000000" w:rsidP="00000000" w:rsidRDefault="00000000" w:rsidRPr="00000000" w14:paraId="0000009D">
      <w:pPr>
        <w:pStyle w:val="Heading4"/>
        <w:numPr>
          <w:ilvl w:val="0"/>
          <w:numId w:val="7"/>
        </w:numPr>
        <w:spacing w:before="120" w:lineRule="auto"/>
        <w:ind w:left="720" w:hanging="360"/>
        <w:rPr>
          <w:rFonts w:ascii="Times New Roman" w:cs="Times New Roman" w:eastAsia="Times New Roman" w:hAnsi="Times New Roman"/>
          <w:b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Вимоги до тендерної пропозиції: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ціни на послуги повинні бути представлені в українських гривнях;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ціни повинні бути вказані з урахуванням агентської комісії;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сума ПДВ (в разі сплати, окремим рядком).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0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Тендерна пропозиція на Послуги повинна бути представлена в наступному форматі: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детальна специфікація Послуг/товару із зазначенням вартості кожної позиції;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пропозиції в розрізі витрат;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spacing w:after="60" w:before="6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загальна вартість з урахуванням всіх витрат Постачальника.</w:t>
      </w:r>
    </w:p>
    <w:p w:rsidR="00000000" w:rsidDel="00000000" w:rsidP="00000000" w:rsidRDefault="00000000" w:rsidRPr="00000000" w14:paraId="000000A6">
      <w:pPr>
        <w:pStyle w:val="Heading4"/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b w:val="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Додаткова інформація до ціновій пропозиції:</w:t>
      </w:r>
    </w:p>
    <w:p w:rsidR="00000000" w:rsidDel="00000000" w:rsidP="00000000" w:rsidRDefault="00000000" w:rsidRPr="00000000" w14:paraId="000000A7">
      <w:pPr>
        <w:numPr>
          <w:ilvl w:val="0"/>
          <w:numId w:val="17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можливість запропонувати знижки згідно з умовами закупівлі;</w:t>
      </w:r>
    </w:p>
    <w:p w:rsidR="00000000" w:rsidDel="00000000" w:rsidP="00000000" w:rsidRDefault="00000000" w:rsidRPr="00000000" w14:paraId="000000A8">
      <w:pPr>
        <w:numPr>
          <w:ilvl w:val="0"/>
          <w:numId w:val="17"/>
        </w:numPr>
        <w:spacing w:after="120" w:before="120" w:lineRule="auto"/>
        <w:ind w:left="1134" w:hanging="4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інша інформація щодо ціни, яка може бути цікава Замовнику в рамках даного Запиту.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Копії реєстраційних документів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Свідоцтво/довідка платника податків;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20" w:before="12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Лист-підтвердження про відсутність обставин та  діяльності (Додаток 1)</w:t>
      </w:r>
    </w:p>
    <w:p w:rsidR="00000000" w:rsidDel="00000000" w:rsidP="00000000" w:rsidRDefault="00000000" w:rsidRPr="00000000" w14:paraId="000000B0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Даний документ має бути оформлений на бланку постачальника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B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1"/>
        <w:numPr>
          <w:ilvl w:val="0"/>
          <w:numId w:val="4"/>
        </w:numPr>
        <w:spacing w:after="120" w:before="120" w:lineRule="auto"/>
        <w:ind w:left="540" w:hanging="540"/>
        <w:rPr>
          <w:rFonts w:ascii="Times New Roman" w:cs="Times New Roman" w:eastAsia="Times New Roman" w:hAnsi="Times New Roman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B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Направляючи Пропозицію, Постачальник погоджується, що тендерна комісія має право:</w:t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прийняти або відхилити Пропозицію Постачальника повністю або частково відповідно до умов Запиту без пояснення причин таких дій Постачальнику;  </w:t>
      </w:r>
    </w:p>
    <w:p w:rsidR="00000000" w:rsidDel="00000000" w:rsidP="00000000" w:rsidRDefault="00000000" w:rsidRPr="00000000" w14:paraId="000000B5">
      <w:pPr>
        <w:numPr>
          <w:ilvl w:val="0"/>
          <w:numId w:val="8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змінити і / 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розцінювати факт подачі Пропозиції Постачальником як його згоду з умовами даного Запиту.   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обрати одного або декількох Постачальників (в разі необхідності) для надання послуг з виготовлення поліграфічної та брендованої продукції.</w:t>
      </w:r>
    </w:p>
    <w:p w:rsidR="00000000" w:rsidDel="00000000" w:rsidP="00000000" w:rsidRDefault="00000000" w:rsidRPr="00000000" w14:paraId="000000B9">
      <w:pPr>
        <w:pStyle w:val="Heading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Вимоги до постачальника:</w:t>
      </w:r>
    </w:p>
    <w:p w:rsidR="00000000" w:rsidDel="00000000" w:rsidP="00000000" w:rsidRDefault="00000000" w:rsidRPr="00000000" w14:paraId="000000B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процесі відбору Постачальника Тендерна комісія братиме до уваги такі аспекти:</w:t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якість товару/послуги; </w:t>
      </w:r>
    </w:p>
    <w:p w:rsidR="00000000" w:rsidDel="00000000" w:rsidP="00000000" w:rsidRDefault="00000000" w:rsidRPr="00000000" w14:paraId="000000BC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 професійного досвіду роботи попередніх робіт/портфоліо;</w:t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BE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терміни поставки; </w:t>
      </w:r>
    </w:p>
    <w:p w:rsidR="00000000" w:rsidDel="00000000" w:rsidP="00000000" w:rsidRDefault="00000000" w:rsidRPr="00000000" w14:paraId="000000BF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C0">
      <w:pPr>
        <w:numPr>
          <w:ilvl w:val="0"/>
          <w:numId w:val="10"/>
        </w:numPr>
        <w:spacing w:after="60" w:before="60" w:lineRule="auto"/>
        <w:ind w:left="113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розмір пропонованої знижки.</w:t>
      </w:r>
    </w:p>
    <w:p w:rsidR="00000000" w:rsidDel="00000000" w:rsidP="00000000" w:rsidRDefault="00000000" w:rsidRPr="00000000" w14:paraId="000000C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C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C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C4">
      <w:pPr>
        <w:spacing w:after="120" w:before="120" w:lineRule="auto"/>
        <w:rPr>
          <w:rFonts w:ascii="Times New Roman" w:cs="Times New Roman" w:eastAsia="Times New Roman" w:hAnsi="Times New Roman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C5">
      <w:pPr>
        <w:pStyle w:val="Heading2"/>
        <w:spacing w:after="120" w:before="120" w:lineRule="auto"/>
        <w:ind w:left="576" w:hanging="576"/>
        <w:rPr>
          <w:rFonts w:ascii="Times New Roman" w:cs="Times New Roman" w:eastAsia="Times New Roman" w:hAnsi="Times New Roman"/>
          <w:i w:val="0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Порядок подачі Пропозицій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3"/>
        <w:gridCol w:w="5103"/>
        <w:tblGridChange w:id="0">
          <w:tblGrid>
            <w:gridCol w:w="4253"/>
            <w:gridCol w:w="5103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Етап конкурсного процесу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завершення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Подача Пропозицій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7030a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rtl w:val="0"/>
              </w:rPr>
              <w:t xml:space="preserve">з 20 січня 2023 року по 03 лютого 2023 року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Затвердження результатів тендеру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rtl w:val="0"/>
              </w:rPr>
              <w:t xml:space="preserve">Не пізніше 10 лютого 2023 року</w:t>
            </w:r>
          </w:p>
        </w:tc>
      </w:tr>
    </w:tbl>
    <w:p w:rsidR="00000000" w:rsidDel="00000000" w:rsidP="00000000" w:rsidRDefault="00000000" w:rsidRPr="00000000" w14:paraId="000000CD">
      <w:pPr>
        <w:pStyle w:val="Heading3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rPr>
          <w:rFonts w:ascii="Times New Roman" w:cs="Times New Roman" w:eastAsia="Times New Roman" w:hAnsi="Times New Roman"/>
          <w:b w:val="1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Терміни підтвердження участі в конкурсі та подачі Пропозицій </w:t>
      </w:r>
    </w:p>
    <w:p w:rsidR="00000000" w:rsidDel="00000000" w:rsidP="00000000" w:rsidRDefault="00000000" w:rsidRPr="00000000" w14:paraId="000000CF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Постачальник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(за Київським часом)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03 лютого 2023р.: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Постачальник може передати підписані оригінали необхідної Тендерної документації поштою, особисто або кур’єром за наступною адресою:</w:t>
      </w:r>
    </w:p>
    <w:p w:rsidR="00000000" w:rsidDel="00000000" w:rsidP="00000000" w:rsidRDefault="00000000" w:rsidRPr="00000000" w14:paraId="000000D1">
      <w:pPr>
        <w:spacing w:after="120" w:before="120" w:lineRule="auto"/>
        <w:rPr>
          <w:rFonts w:ascii="Times New Roman" w:cs="Times New Roman" w:eastAsia="Times New Roman" w:hAnsi="Times New Roman"/>
          <w:b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вул. М. Заньковецької, 3/1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, оф. 12, м. Київ, 01001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В разі отримання всіх необхідних документів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після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(за Київським часом)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03 лютого 2023р.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розглядатися не буде.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20" w:before="120" w:lineRule="auto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3"/>
        <w:rPr>
          <w:rFonts w:ascii="Times New Roman" w:cs="Times New Roman" w:eastAsia="Times New Roman" w:hAnsi="Times New Roman"/>
          <w:b w:val="1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D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D6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1. </w:t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ЛИСТ - ПІДТВЕРДЖЕННЯ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відсутність обставин та  діяльності нижче</w:t>
      </w:r>
    </w:p>
    <w:p w:rsidR="00000000" w:rsidDel="00000000" w:rsidP="00000000" w:rsidRDefault="00000000" w:rsidRPr="00000000" w14:paraId="00000107">
      <w:pPr>
        <w:ind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Я, ____________________________________________________________________</w:t>
      </w:r>
    </w:p>
    <w:p w:rsidR="00000000" w:rsidDel="00000000" w:rsidP="00000000" w:rsidRDefault="00000000" w:rsidRPr="00000000" w14:paraId="00000109">
      <w:pPr>
        <w:ind w:firstLine="567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1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Підтверджую, що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__________________________________________(далі-Постачальник)</w:t>
      </w:r>
    </w:p>
    <w:p w:rsidR="00000000" w:rsidDel="00000000" w:rsidP="00000000" w:rsidRDefault="00000000" w:rsidRPr="00000000" w14:paraId="0000010D">
      <w:pPr>
        <w:ind w:firstLine="567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щодо контрагента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Sida/громадянам Швеції.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(підпис)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1"/>
        <w:spacing w:after="120" w:before="12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1"/>
        <w:spacing w:after="120" w:before="12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2. Специфікація дизайнерських послуг та виготовлення поліграфічної, брендованої продукції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00000000002" w:type="dxa"/>
        <w:jc w:val="left"/>
        <w:tblInd w:w="-14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"/>
        <w:gridCol w:w="2888"/>
        <w:gridCol w:w="4058"/>
        <w:gridCol w:w="1298"/>
        <w:gridCol w:w="1232"/>
        <w:gridCol w:w="1232"/>
        <w:tblGridChange w:id="0">
          <w:tblGrid>
            <w:gridCol w:w="670"/>
            <w:gridCol w:w="2888"/>
            <w:gridCol w:w="4058"/>
            <w:gridCol w:w="1298"/>
            <w:gridCol w:w="1232"/>
            <w:gridCol w:w="12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продукції/послуги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Технічні характеристики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К-ть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Строк надання послуг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Ціна, грн.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Макетування А4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Макетування А4 сторінки у каталозі з кількістю сторінок від 50 до 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Макетування каталогу з обкладинкою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А4, обкладинка 350 гр, внутрішній блок 150 гр, 2 скоби, 50 сторінок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Наліпка 50х50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на Рафлатак + контурна плотерна порізка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Макетування наліпки 50х50 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Розробка макету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Наліпка 80х80мм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на Рафлатак +контурна плотерна порізка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Макетування наліпки 80х80мм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Розробка макету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Блокнот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Формат А5 . Обклад.+підкл., друк 4+0, папір 300 гр матовий, ламінація матова 1+0. Блок 50 арк., друк 4+0, папір 80 г., офсетний, пружина по 210 мм.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Еко-сумка 35х42 см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Нанесення з однієї сторони у два кольори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Банер вініловий 1х2,05м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Інтер’єрний фотодрук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Конструкція ролл-ап та монтаж банеру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Конструкція з друком, 1*2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Конструкція ролл-ап 200х200 та монтаж банеру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Конструкція з друком 200х200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катологу, А4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А4, 4+4, обкладинка 350 гр, внутрішній блок 150 гр, 2 скоби, 50 сторінок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на акрилі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Фотодрук на акрилі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Хештег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Фрезерування деревини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Чашка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Чашка 350 мл, з нанесенням по колу у два кольори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Поліграфічні послуги (візитка)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Папір 450 гр., матовий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USB-флеш-драйв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Гб, нанесення лого-лазерне гравіювання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А4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350 гр, 4+0, індивідуальні макети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Roll-Ap Люкс 100х200 см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Люкс з друком та монтажем банеру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Roll-Ap Люкс 150х200 см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Люкс з друком та монтажем банеру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Банер з люверсами 200х200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Інтер’єрний фотодрук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на пластику 100х150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Інтер’єрний фотодрук на ПВХ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Футболка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Футболка 100% бавовна, нанесення шовкодруку у 2-3 кольори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Парасолька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Парасолька тростина кольорова з нанесенням логотипу у один колір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Друк звіту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А4, обкладинка 350 гр, внутрішній блок 150 гр, 2 скоби, 36 сторінок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Папка брендована збірна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  <w:highlight w:val="white"/>
                <w:rtl w:val="0"/>
              </w:rPr>
              <w:t xml:space="preserve">А4, друк 1+0 (понтон), 350 гр крейд.гл.з 1+0 лам.гл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Ручка з нанесенням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Ручка пластикова з нанесенням у 2 кольори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4" w:w="11909" w:orient="portrait"/>
      <w:pgMar w:bottom="1134" w:top="1134" w:left="1701" w:right="567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center" w:leader="none" w:pos="4820"/>
        <w:tab w:val="right" w:leader="none" w:pos="964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1134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decimal"/>
      <w:lvlText w:val="%1."/>
      <w:lvlJc w:val="left"/>
      <w:pPr>
        <w:ind w:left="540" w:hanging="540"/>
      </w:pPr>
      <w:rPr/>
    </w:lvl>
    <w:lvl w:ilvl="1">
      <w:start w:val="3"/>
      <w:numFmt w:val="decimal"/>
      <w:lvlText w:val="%1.%2."/>
      <w:lvlJc w:val="left"/>
      <w:pPr>
        <w:ind w:left="540" w:hanging="540"/>
      </w:pPr>
      <w:rPr/>
    </w:lvl>
    <w:lvl w:ilvl="2">
      <w:start w:val="2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79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·"/>
      <w:lvlJc w:val="left"/>
      <w:pPr>
        <w:ind w:left="1620" w:hanging="360"/>
      </w:pPr>
      <w:rPr>
        <w:rFonts w:ascii="Noto Sans Symbols" w:cs="Noto Sans Symbols" w:eastAsia="Noto Sans Symbols" w:hAnsi="Noto Sans Symbols"/>
        <w:color w:val="000000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92" w:hanging="360"/>
      </w:pPr>
      <w:rPr/>
    </w:lvl>
    <w:lvl w:ilvl="1">
      <w:start w:val="1"/>
      <w:numFmt w:val="lowerLetter"/>
      <w:lvlText w:val="%2."/>
      <w:lvlJc w:val="left"/>
      <w:pPr>
        <w:ind w:left="1512" w:hanging="360"/>
      </w:pPr>
      <w:rPr/>
    </w:lvl>
    <w:lvl w:ilvl="2">
      <w:start w:val="1"/>
      <w:numFmt w:val="lowerRoman"/>
      <w:lvlText w:val="%3."/>
      <w:lvlJc w:val="right"/>
      <w:pPr>
        <w:ind w:left="2232" w:hanging="180"/>
      </w:pPr>
      <w:rPr/>
    </w:lvl>
    <w:lvl w:ilvl="3">
      <w:start w:val="1"/>
      <w:numFmt w:val="decimal"/>
      <w:lvlText w:val="%4."/>
      <w:lvlJc w:val="left"/>
      <w:pPr>
        <w:ind w:left="2952" w:hanging="360"/>
      </w:pPr>
      <w:rPr/>
    </w:lvl>
    <w:lvl w:ilvl="4">
      <w:start w:val="1"/>
      <w:numFmt w:val="lowerLetter"/>
      <w:lvlText w:val="%5."/>
      <w:lvlJc w:val="left"/>
      <w:pPr>
        <w:ind w:left="3672" w:hanging="360"/>
      </w:pPr>
      <w:rPr/>
    </w:lvl>
    <w:lvl w:ilvl="5">
      <w:start w:val="1"/>
      <w:numFmt w:val="lowerRoman"/>
      <w:lvlText w:val="%6."/>
      <w:lvlJc w:val="right"/>
      <w:pPr>
        <w:ind w:left="4392" w:hanging="180"/>
      </w:pPr>
      <w:rPr/>
    </w:lvl>
    <w:lvl w:ilvl="6">
      <w:start w:val="1"/>
      <w:numFmt w:val="decimal"/>
      <w:lvlText w:val="%7."/>
      <w:lvlJc w:val="left"/>
      <w:pPr>
        <w:ind w:left="5112" w:hanging="360"/>
      </w:pPr>
      <w:rPr/>
    </w:lvl>
    <w:lvl w:ilvl="7">
      <w:start w:val="1"/>
      <w:numFmt w:val="lowerLetter"/>
      <w:lvlText w:val="%8."/>
      <w:lvlJc w:val="left"/>
      <w:pPr>
        <w:ind w:left="5832" w:hanging="360"/>
      </w:pPr>
      <w:rPr/>
    </w:lvl>
    <w:lvl w:ilvl="8">
      <w:start w:val="1"/>
      <w:numFmt w:val="lowerRoman"/>
      <w:lvlText w:val="%9."/>
      <w:lvlJc w:val="right"/>
      <w:pPr>
        <w:ind w:left="6552" w:hanging="180"/>
      </w:pPr>
      <w:rPr/>
    </w:lvl>
  </w:abstractNum>
  <w:abstractNum w:abstractNumId="12">
    <w:lvl w:ilvl="0">
      <w:start w:val="1"/>
      <w:numFmt w:val="bullet"/>
      <w:lvlText w:val="♦"/>
      <w:lvlJc w:val="left"/>
      <w:pPr>
        <w:ind w:left="1429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720" w:hanging="36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240" w:lineRule="auto"/>
      <w:ind w:left="432" w:hanging="43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1290" w:hanging="864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6"/>
      <w:szCs w:val="26"/>
    </w:rPr>
  </w:style>
  <w:style w:type="paragraph" w:styleId="a" w:default="1">
    <w:name w:val="Normal"/>
    <w:qFormat w:val="1"/>
    <w:rsid w:val="001029DF"/>
    <w:pPr>
      <w:jc w:val="both"/>
    </w:pPr>
    <w:rPr>
      <w:rFonts w:ascii="Arial" w:hAnsi="Arial"/>
      <w:sz w:val="24"/>
      <w:lang w:eastAsia="en-US" w:val="en-US"/>
    </w:rPr>
  </w:style>
  <w:style w:type="paragraph" w:styleId="1">
    <w:name w:val="heading 1"/>
    <w:aliases w:val="h1,H1"/>
    <w:basedOn w:val="a"/>
    <w:next w:val="a"/>
    <w:qFormat w:val="1"/>
    <w:pPr>
      <w:keepNext w:val="1"/>
      <w:numPr>
        <w:numId w:val="2"/>
      </w:numPr>
      <w:spacing w:after="180" w:before="240"/>
      <w:outlineLvl w:val="0"/>
    </w:pPr>
    <w:rPr>
      <w:b w:val="1"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 w:val="1"/>
    <w:pPr>
      <w:keepNext w:val="1"/>
      <w:numPr>
        <w:ilvl w:val="1"/>
        <w:numId w:val="2"/>
      </w:numPr>
      <w:spacing w:after="60" w:before="240"/>
      <w:outlineLvl w:val="1"/>
    </w:pPr>
    <w:rPr>
      <w:b w:val="1"/>
      <w:i w:val="1"/>
    </w:rPr>
  </w:style>
  <w:style w:type="paragraph" w:styleId="3">
    <w:name w:val="heading 3"/>
    <w:aliases w:val="h3,Head 3"/>
    <w:basedOn w:val="a"/>
    <w:next w:val="a"/>
    <w:qFormat w:val="1"/>
    <w:pPr>
      <w:keepNext w:val="1"/>
      <w:numPr>
        <w:ilvl w:val="2"/>
        <w:numId w:val="2"/>
      </w:numPr>
      <w:spacing w:after="60" w:before="240"/>
      <w:outlineLvl w:val="2"/>
    </w:pPr>
  </w:style>
  <w:style w:type="paragraph" w:styleId="4">
    <w:name w:val="heading 4"/>
    <w:aliases w:val="h4,Heading4,4,41"/>
    <w:basedOn w:val="a"/>
    <w:next w:val="a"/>
    <w:qFormat w:val="1"/>
    <w:pPr>
      <w:keepNext w:val="1"/>
      <w:numPr>
        <w:ilvl w:val="3"/>
        <w:numId w:val="2"/>
      </w:numPr>
      <w:spacing w:after="60" w:before="240"/>
      <w:outlineLvl w:val="3"/>
    </w:pPr>
    <w:rPr>
      <w:b w:val="1"/>
    </w:rPr>
  </w:style>
  <w:style w:type="paragraph" w:styleId="5">
    <w:name w:val="heading 5"/>
    <w:aliases w:val="H5,Block Label,DTSÜberschrift 5,h5,5,51"/>
    <w:basedOn w:val="a"/>
    <w:next w:val="a"/>
    <w:qFormat w:val="1"/>
    <w:pPr>
      <w:numPr>
        <w:ilvl w:val="4"/>
        <w:numId w:val="2"/>
      </w:numPr>
      <w:spacing w:after="60" w:before="24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 w:val="1"/>
    <w:pPr>
      <w:numPr>
        <w:ilvl w:val="5"/>
        <w:numId w:val="2"/>
      </w:numPr>
      <w:spacing w:after="60" w:before="240"/>
      <w:outlineLvl w:val="5"/>
    </w:pPr>
    <w:rPr>
      <w:rFonts w:ascii="Times New Roman" w:hAnsi="Times New Roman"/>
      <w:i w:val="1"/>
      <w:sz w:val="22"/>
    </w:rPr>
  </w:style>
  <w:style w:type="paragraph" w:styleId="7">
    <w:name w:val="heading 7"/>
    <w:aliases w:val="DTSÜberschrift 7"/>
    <w:basedOn w:val="a"/>
    <w:next w:val="a"/>
    <w:qFormat w:val="1"/>
    <w:pPr>
      <w:numPr>
        <w:ilvl w:val="6"/>
        <w:numId w:val="2"/>
      </w:numPr>
      <w:spacing w:after="60" w:before="240"/>
      <w:outlineLvl w:val="6"/>
    </w:pPr>
    <w:rPr>
      <w:sz w:val="20"/>
    </w:rPr>
  </w:style>
  <w:style w:type="paragraph" w:styleId="8">
    <w:name w:val="heading 8"/>
    <w:basedOn w:val="a"/>
    <w:next w:val="a"/>
    <w:qFormat w:val="1"/>
    <w:pPr>
      <w:numPr>
        <w:ilvl w:val="7"/>
        <w:numId w:val="2"/>
      </w:numPr>
      <w:spacing w:after="60" w:before="240"/>
      <w:outlineLvl w:val="7"/>
    </w:pPr>
    <w:rPr>
      <w:i w:val="1"/>
      <w:sz w:val="20"/>
    </w:rPr>
  </w:style>
  <w:style w:type="paragraph" w:styleId="9">
    <w:name w:val="heading 9"/>
    <w:basedOn w:val="a"/>
    <w:next w:val="a"/>
    <w:qFormat w:val="1"/>
    <w:pPr>
      <w:numPr>
        <w:ilvl w:val="8"/>
        <w:numId w:val="2"/>
      </w:numPr>
      <w:spacing w:after="60" w:before="240"/>
      <w:outlineLvl w:val="8"/>
    </w:pPr>
    <w:rPr>
      <w:b w:val="1"/>
      <w:i w:val="1"/>
      <w:sz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qFormat w:val="1"/>
    <w:pPr>
      <w:jc w:val="center"/>
    </w:pPr>
    <w:rPr>
      <w:b w:val="1"/>
      <w:i w:val="1"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Odstavec" w:customStyle="1">
    <w:name w:val="Odstavec"/>
    <w:basedOn w:val="a"/>
    <w:pPr>
      <w:spacing w:after="60" w:before="60"/>
      <w:ind w:firstLine="706"/>
    </w:pPr>
    <w:rPr>
      <w:rFonts w:ascii="Times New Roman" w:hAnsi="Times New Roman"/>
    </w:rPr>
  </w:style>
  <w:style w:type="paragraph" w:styleId="Bullet2" w:customStyle="1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 w:val="1"/>
    <w:pPr>
      <w:numPr>
        <w:numId w:val="1"/>
      </w:numPr>
    </w:pPr>
  </w:style>
  <w:style w:type="paragraph" w:styleId="a7">
    <w:name w:val="caption"/>
    <w:basedOn w:val="a"/>
    <w:next w:val="a"/>
    <w:qFormat w:val="1"/>
    <w:pPr>
      <w:spacing w:after="120" w:before="120"/>
      <w:jc w:val="center"/>
    </w:pPr>
    <w:rPr>
      <w:rFonts w:ascii="Times New Roman" w:hAnsi="Times New Roman"/>
      <w:i w:val="1"/>
      <w:sz w:val="22"/>
    </w:rPr>
  </w:style>
  <w:style w:type="paragraph" w:styleId="StylArial10bZarovnatdobloku1" w:customStyle="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 w:val="1"/>
      <w:jc w:val="center"/>
    </w:pPr>
    <w:rPr>
      <w:b w:val="1"/>
    </w:rPr>
  </w:style>
  <w:style w:type="paragraph" w:styleId="aa">
    <w:name w:val="Subtitle"/>
    <w:basedOn w:val="a"/>
    <w:qFormat w:val="1"/>
    <w:pPr>
      <w:jc w:val="center"/>
    </w:pPr>
    <w:rPr>
      <w:rFonts w:ascii="Times New Roman" w:hAnsi="Times New Roman"/>
      <w:b w:val="1"/>
    </w:rPr>
  </w:style>
  <w:style w:type="paragraph" w:styleId="ab">
    <w:name w:val="footnote text"/>
    <w:basedOn w:val="a"/>
    <w:semiHidden w:val="1"/>
    <w:rPr>
      <w:sz w:val="20"/>
    </w:rPr>
  </w:style>
  <w:style w:type="character" w:styleId="ac">
    <w:name w:val="footnote reference"/>
    <w:semiHidden w:val="1"/>
    <w:rPr>
      <w:vertAlign w:val="superscript"/>
    </w:rPr>
  </w:style>
  <w:style w:type="paragraph" w:styleId="Heading0" w:customStyle="1">
    <w:name w:val="Heading 0"/>
    <w:basedOn w:val="a"/>
    <w:pPr>
      <w:keepNext w:val="1"/>
      <w:spacing w:after="240" w:before="120"/>
    </w:pPr>
    <w:rPr>
      <w:b w:val="1"/>
      <w:sz w:val="28"/>
    </w:rPr>
  </w:style>
  <w:style w:type="paragraph" w:styleId="CcList" w:customStyle="1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styleId="xl85" w:customStyle="1">
    <w:name w:val="xl85"/>
    <w:basedOn w:val="a"/>
    <w:pPr>
      <w:spacing w:after="100" w:afterAutospacing="1" w:before="100" w:beforeAutospacing="1"/>
      <w:jc w:val="right"/>
    </w:pPr>
    <w:rPr>
      <w:rFonts w:ascii="Arial Unicode MS" w:cs="Arial Unicode MS" w:eastAsia="Arial Unicode MS" w:hAnsi="Arial Unicode MS"/>
      <w:szCs w:val="24"/>
      <w:lang w:val="en-GB"/>
    </w:rPr>
  </w:style>
  <w:style w:type="paragraph" w:styleId="Heading3331" w:customStyle="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after="60" w:before="24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 w:val="1"/>
    <w:uiPriority w:val="39"/>
    <w:rsid w:val="00045303"/>
    <w:pPr>
      <w:spacing w:before="360"/>
      <w:jc w:val="left"/>
    </w:pPr>
    <w:rPr>
      <w:rFonts w:cs="Arial"/>
      <w:b w:val="1"/>
      <w:bCs w:val="1"/>
      <w:caps w:val="1"/>
      <w:szCs w:val="24"/>
    </w:rPr>
  </w:style>
  <w:style w:type="paragraph" w:styleId="22">
    <w:name w:val="toc 2"/>
    <w:basedOn w:val="a"/>
    <w:next w:val="a"/>
    <w:autoRedefine w:val="1"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 w:val="1"/>
      <w:bCs w:val="1"/>
      <w:noProof w:val="1"/>
      <w:lang w:val="ru-RU"/>
    </w:rPr>
  </w:style>
  <w:style w:type="paragraph" w:styleId="30">
    <w:name w:val="toc 3"/>
    <w:basedOn w:val="a"/>
    <w:next w:val="a"/>
    <w:autoRedefine w:val="1"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 w:val="1"/>
    <w:semiHidden w:val="1"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 w:val="1"/>
    <w:semiHidden w:val="1"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 w:val="1"/>
    <w:semiHidden w:val="1"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 w:val="1"/>
    <w:semiHidden w:val="1"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 w:val="1"/>
    <w:semiHidden w:val="1"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 w:val="1"/>
    <w:semiHidden w:val="1"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cs="Arial Unicode MS" w:eastAsia="Arial Unicode MS" w:hAnsi="Arial Unicode MS"/>
      <w:sz w:val="17"/>
      <w:szCs w:val="17"/>
    </w:rPr>
  </w:style>
  <w:style w:type="paragraph" w:styleId="af1">
    <w:name w:val="Balloon Text"/>
    <w:basedOn w:val="a"/>
    <w:semiHidden w:val="1"/>
    <w:rPr>
      <w:rFonts w:ascii="Tahoma" w:cs="Tahoma" w:hAnsi="Tahoma"/>
      <w:sz w:val="16"/>
      <w:szCs w:val="16"/>
    </w:rPr>
  </w:style>
  <w:style w:type="character" w:styleId="af2">
    <w:name w:val="annotation reference"/>
    <w:semiHidden w:val="1"/>
    <w:rPr>
      <w:sz w:val="16"/>
      <w:szCs w:val="16"/>
    </w:rPr>
  </w:style>
  <w:style w:type="paragraph" w:styleId="af3">
    <w:name w:val="annotation text"/>
    <w:basedOn w:val="a"/>
    <w:semiHidden w:val="1"/>
    <w:rPr>
      <w:sz w:val="20"/>
    </w:rPr>
  </w:style>
  <w:style w:type="paragraph" w:styleId="af4">
    <w:name w:val="annotation subject"/>
    <w:basedOn w:val="af3"/>
    <w:next w:val="af3"/>
    <w:semiHidden w:val="1"/>
    <w:rPr>
      <w:b w:val="1"/>
      <w:bCs w:val="1"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6" w:customStyle="1">
    <w:name w:val="Оглаление"/>
    <w:basedOn w:val="a"/>
    <w:next w:val="a"/>
    <w:rsid w:val="007A7950"/>
    <w:pPr>
      <w:spacing w:after="60" w:before="240"/>
    </w:pPr>
    <w:rPr>
      <w:rFonts w:ascii="Tahoma" w:hAnsi="Tahoma"/>
      <w:b w:val="1"/>
      <w:i w:val="1"/>
      <w:sz w:val="28"/>
      <w:szCs w:val="24"/>
      <w:lang w:eastAsia="ru-RU" w:val="ru-RU"/>
    </w:rPr>
  </w:style>
  <w:style w:type="paragraph" w:styleId="11" w:customStyle="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styleId="32" w:customStyle="1">
    <w:name w:val="3"/>
    <w:basedOn w:val="11"/>
    <w:rsid w:val="006917B0"/>
    <w:rPr>
      <w:i w:val="1"/>
    </w:rPr>
  </w:style>
  <w:style w:type="paragraph" w:styleId="af7">
    <w:name w:val="Document Map"/>
    <w:basedOn w:val="a"/>
    <w:semiHidden w:val="1"/>
    <w:rsid w:val="0038482D"/>
    <w:pPr>
      <w:shd w:color="auto" w:fill="000080" w:val="clear"/>
    </w:pPr>
    <w:rPr>
      <w:rFonts w:ascii="Tahoma" w:cs="Tahoma" w:hAnsi="Tahoma"/>
    </w:rPr>
  </w:style>
  <w:style w:type="paragraph" w:styleId="NormalBullet" w:customStyle="1">
    <w:name w:val="Normal Bullet"/>
    <w:basedOn w:val="a"/>
    <w:rsid w:val="0038482D"/>
    <w:pPr>
      <w:numPr>
        <w:numId w:val="10"/>
      </w:numPr>
      <w:spacing w:after="60" w:before="60"/>
      <w:jc w:val="left"/>
    </w:pPr>
    <w:rPr>
      <w:rFonts w:ascii="Times New Roman" w:eastAsia="SimSun" w:hAnsi="Times New Roman"/>
      <w:lang w:eastAsia="zh-CN" w:val="en-CA"/>
    </w:rPr>
  </w:style>
  <w:style w:type="paragraph" w:styleId="NormalBulletChar" w:customStyle="1">
    <w:name w:val="Normal Bullet Char"/>
    <w:basedOn w:val="a"/>
    <w:rsid w:val="0038482D"/>
    <w:pPr>
      <w:numPr>
        <w:numId w:val="11"/>
      </w:numPr>
      <w:tabs>
        <w:tab w:val="clear" w:pos="360"/>
      </w:tabs>
      <w:spacing w:after="60" w:before="60"/>
      <w:ind w:left="4320"/>
      <w:jc w:val="left"/>
    </w:pPr>
    <w:rPr>
      <w:rFonts w:ascii="Garamond" w:eastAsia="Batang" w:hAnsi="Garamond"/>
      <w:sz w:val="22"/>
      <w:szCs w:val="22"/>
    </w:rPr>
  </w:style>
  <w:style w:type="paragraph" w:styleId="RespN" w:customStyle="1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eastAsia="zh-CN" w:val="en-GB"/>
    </w:rPr>
  </w:style>
  <w:style w:type="character" w:styleId="RespNChar1" w:customStyle="1">
    <w:name w:val="RespN Char1"/>
    <w:link w:val="RespN"/>
    <w:rsid w:val="0038482D"/>
    <w:rPr>
      <w:rFonts w:ascii="Times" w:eastAsia="SimSun" w:hAnsi="Times"/>
      <w:color w:val="0000ff"/>
      <w:sz w:val="24"/>
      <w:szCs w:val="24"/>
      <w:lang w:bidi="ar-SA" w:eastAsia="zh-CN" w:val="en-GB"/>
    </w:rPr>
  </w:style>
  <w:style w:type="paragraph" w:styleId="Response" w:customStyle="1">
    <w:name w:val="Response"/>
    <w:basedOn w:val="a"/>
    <w:link w:val="ResponseChar"/>
    <w:rsid w:val="001305B7"/>
    <w:pPr>
      <w:jc w:val="left"/>
    </w:pPr>
    <w:rPr>
      <w:b w:val="1"/>
      <w:color w:val="0000ff"/>
      <w:lang w:eastAsia="ja-JP" w:val="en-GB"/>
    </w:rPr>
  </w:style>
  <w:style w:type="character" w:styleId="ResponseChar" w:customStyle="1">
    <w:name w:val="Response Char"/>
    <w:link w:val="Response"/>
    <w:rsid w:val="001305B7"/>
    <w:rPr>
      <w:rFonts w:ascii="Arial" w:hAnsi="Arial"/>
      <w:b w:val="1"/>
      <w:color w:val="0000ff"/>
      <w:sz w:val="24"/>
      <w:lang w:bidi="ar-SA" w:eastAsia="ja-JP" w:val="en-GB"/>
    </w:rPr>
  </w:style>
  <w:style w:type="paragraph" w:styleId="Default" w:customStyle="1">
    <w:name w:val="Default"/>
    <w:rsid w:val="004F0D8A"/>
    <w:pPr>
      <w:autoSpaceDE w:val="0"/>
      <w:autoSpaceDN w:val="0"/>
      <w:adjustRightInd w:val="0"/>
    </w:pPr>
    <w:rPr>
      <w:rFonts w:ascii="Arial" w:cs="Arial" w:eastAsia="SimSun" w:hAnsi="Arial"/>
      <w:color w:val="000000"/>
      <w:sz w:val="24"/>
      <w:szCs w:val="24"/>
      <w:lang w:bidi="he-IL" w:eastAsia="zh-CN" w:val="en-US"/>
    </w:rPr>
  </w:style>
  <w:style w:type="paragraph" w:styleId="para9" w:customStyle="1">
    <w:name w:val="para9"/>
    <w:basedOn w:val="a"/>
    <w:rsid w:val="007A5354"/>
    <w:pPr>
      <w:spacing w:after="120" w:before="120"/>
      <w:ind w:left="720"/>
    </w:pPr>
    <w:rPr>
      <w:rFonts w:ascii="Times New Roman" w:hAnsi="Times New Roman"/>
      <w:noProof w:val="1"/>
      <w:lang w:val="en-CA"/>
    </w:rPr>
  </w:style>
  <w:style w:type="paragraph" w:styleId="Table" w:customStyle="1">
    <w:name w:val="Table"/>
    <w:rsid w:val="008C0B3D"/>
    <w:pPr>
      <w:keepLines w:val="1"/>
      <w:widowControl w:val="0"/>
      <w:spacing w:after="40" w:before="40"/>
      <w:jc w:val="center"/>
    </w:pPr>
    <w:rPr>
      <w:rFonts w:ascii="Arial Narrow" w:hAnsi="Arial Narrow"/>
      <w:lang w:eastAsia="en-US" w:val="en-US"/>
    </w:rPr>
  </w:style>
  <w:style w:type="paragraph" w:styleId="M-Bullet1" w:customStyle="1">
    <w:name w:val="M-Bullet 1"/>
    <w:basedOn w:val="a"/>
    <w:autoRedefine w:val="1"/>
    <w:rsid w:val="001F150C"/>
    <w:pPr>
      <w:numPr>
        <w:numId w:val="12"/>
      </w:numPr>
      <w:spacing w:after="60" w:before="60"/>
    </w:pPr>
    <w:rPr>
      <w:rFonts w:cs="Arial"/>
      <w:color w:val="000000"/>
      <w:sz w:val="20"/>
      <w:lang w:val="en-GB"/>
    </w:rPr>
  </w:style>
  <w:style w:type="paragraph" w:styleId="Char1CharCharChar" w:customStyle="1">
    <w:name w:val="Char1 Char Char Char"/>
    <w:basedOn w:val="a"/>
    <w:semiHidden w:val="1"/>
    <w:rsid w:val="00727971"/>
    <w:pPr>
      <w:keepNext w:val="1"/>
      <w:tabs>
        <w:tab w:val="num" w:pos="425"/>
      </w:tabs>
      <w:autoSpaceDE w:val="0"/>
      <w:autoSpaceDN w:val="0"/>
      <w:adjustRightInd w:val="0"/>
      <w:spacing w:after="80" w:before="80"/>
      <w:ind w:hanging="425"/>
    </w:pPr>
    <w:rPr>
      <w:rFonts w:cs="Arial" w:eastAsia="SimSun"/>
      <w:kern w:val="2"/>
      <w:sz w:val="20"/>
      <w:lang w:eastAsia="zh-CN"/>
    </w:rPr>
  </w:style>
  <w:style w:type="paragraph" w:styleId="TableText" w:customStyle="1">
    <w:name w:val="Table Text"/>
    <w:basedOn w:val="a8"/>
    <w:rsid w:val="00B5155A"/>
    <w:pPr>
      <w:keepNext w:val="0"/>
      <w:spacing w:after="40" w:before="40"/>
      <w:jc w:val="left"/>
    </w:pPr>
    <w:rPr>
      <w:rFonts w:eastAsia="SimSun"/>
      <w:b w:val="0"/>
      <w:spacing w:val="-5"/>
      <w:sz w:val="20"/>
      <w:lang w:eastAsia="zh-CN"/>
    </w:rPr>
  </w:style>
  <w:style w:type="paragraph" w:styleId="Char1CharCharChar0" w:customStyle="1">
    <w:name w:val="Char1 Char Char Char"/>
    <w:basedOn w:val="a"/>
    <w:semiHidden w:val="1"/>
    <w:rsid w:val="0039262C"/>
    <w:pPr>
      <w:keepNext w:val="1"/>
      <w:tabs>
        <w:tab w:val="num" w:pos="425"/>
      </w:tabs>
      <w:autoSpaceDE w:val="0"/>
      <w:autoSpaceDN w:val="0"/>
      <w:adjustRightInd w:val="0"/>
      <w:spacing w:after="80" w:before="80"/>
      <w:ind w:hanging="425"/>
    </w:pPr>
    <w:rPr>
      <w:rFonts w:cs="Arial" w:eastAsia="SimSun"/>
      <w:kern w:val="2"/>
      <w:sz w:val="20"/>
      <w:lang w:eastAsia="zh-CN"/>
    </w:rPr>
  </w:style>
  <w:style w:type="paragraph" w:styleId="Iauiue" w:customStyle="1">
    <w:name w:val="Iau?iue"/>
    <w:link w:val="Iauiue0"/>
    <w:rsid w:val="0051671C"/>
    <w:rPr>
      <w:rFonts w:ascii="NewtonCTT" w:hAnsi="NewtonCTT"/>
      <w:sz w:val="24"/>
      <w:lang w:eastAsia="en-US" w:val="en-US"/>
    </w:rPr>
  </w:style>
  <w:style w:type="character" w:styleId="Iauiue0" w:customStyle="1">
    <w:name w:val="Iau?iue Знак"/>
    <w:link w:val="Iauiue"/>
    <w:rsid w:val="0051671C"/>
    <w:rPr>
      <w:rFonts w:ascii="NewtonCTT" w:hAnsi="NewtonCTT"/>
      <w:sz w:val="24"/>
      <w:lang w:bidi="ar-SA" w:eastAsia="en-US" w:val="en-US"/>
    </w:rPr>
  </w:style>
  <w:style w:type="paragraph" w:styleId="af8">
    <w:name w:val="Quote"/>
    <w:basedOn w:val="a"/>
    <w:next w:val="a"/>
    <w:link w:val="af9"/>
    <w:uiPriority w:val="29"/>
    <w:qFormat w:val="1"/>
    <w:rsid w:val="00587156"/>
    <w:rPr>
      <w:i w:val="1"/>
      <w:iCs w:val="1"/>
      <w:color w:val="000000"/>
    </w:rPr>
  </w:style>
  <w:style w:type="character" w:styleId="af9" w:customStyle="1">
    <w:name w:val="Цитата Знак"/>
    <w:link w:val="af8"/>
    <w:uiPriority w:val="29"/>
    <w:rsid w:val="00587156"/>
    <w:rPr>
      <w:rFonts w:ascii="Arial" w:hAnsi="Arial"/>
      <w:i w:val="1"/>
      <w:iCs w:val="1"/>
      <w:color w:val="000000"/>
      <w:sz w:val="24"/>
    </w:rPr>
  </w:style>
  <w:style w:type="character" w:styleId="afa">
    <w:name w:val="Strong"/>
    <w:uiPriority w:val="22"/>
    <w:qFormat w:val="1"/>
    <w:rsid w:val="00201668"/>
    <w:rPr>
      <w:b w:val="1"/>
      <w:bCs w:val="1"/>
    </w:rPr>
  </w:style>
  <w:style w:type="paragraph" w:styleId="afb">
    <w:name w:val="List Paragraph"/>
    <w:basedOn w:val="a"/>
    <w:uiPriority w:val="34"/>
    <w:qFormat w:val="1"/>
    <w:rsid w:val="006E2132"/>
    <w:pPr>
      <w:spacing w:after="160" w:line="259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val="uk-UA"/>
    </w:rPr>
  </w:style>
  <w:style w:type="character" w:styleId="a9" w:customStyle="1">
    <w:name w:val="Основний текст Знак"/>
    <w:link w:val="a8"/>
    <w:rsid w:val="007F17B5"/>
    <w:rPr>
      <w:rFonts w:ascii="Arial" w:hAnsi="Arial"/>
      <w:b w:val="1"/>
      <w:sz w:val="24"/>
      <w:lang w:eastAsia="en-US" w:val="en-US"/>
    </w:rPr>
  </w:style>
  <w:style w:type="character" w:styleId="hps" w:customStyle="1">
    <w:name w:val="hps"/>
    <w:rsid w:val="007F17B5"/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ender@cedem.org.ua" TargetMode="External"/><Relationship Id="rId8" Type="http://schemas.openxmlformats.org/officeDocument/2006/relationships/hyperlink" Target="mailto:tender@cedem.org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/0cdZ2FatSCgC4mAydEHWxeVXg==">AMUW2mVuKnj2sYU8x8LsXbLQpvOJGWq6morshOQMv0q52qkGjUD97TasUZwmgJsW3sGyrHdKK3fs4JvVGX5KgxNx8TWh8DpGulf+LFFPscjuIZGR3gtNu0gdM7C3USOoUjFyH8QE88/GQ3ugODqlEwrC9a1MTgE5gIg2tt9ctgmc9ix0G2+z+3RAMo1ONGHRTHzzdPznSgAZe/mmLJiJU2nTDPfIsgFSK6Oaz2CwRCMOZ2q88/cSBvHE6oHzwlajoXsUOSTELgYOmZT+C1N/kg5nPTgmBv0VXyahhm/3kAMt+LZhVZPoUI8M8vlrFwxEKcKbpnq2hD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2022-01-19T08:12:00Z</dcterms:created>
  <dc:creator>SOsipenko</dc:creator>
</cp:coreProperties>
</file>